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/>
        <w:ind w:left="1587"/>
        <w:jc w:val="left"/>
      </w:pPr>
      <w:r>
        <w:rPr>
          <w:rFonts w:ascii="Liberation Sans" w:hAnsi="Liberation Sans"/>
          <w:b/>
          <w:sz w:val="22"/>
        </w:rPr>
        <w:t>CUENTA DE EXPLOTACION DE LA ENTIDAD</w:t>
      </w:r>
    </w:p>
    <w:p>
      <w:pPr>
        <w:spacing w:after="36"/>
        <w:ind w:left="1587"/>
        <w:jc w:val="left"/>
      </w:pPr>
      <w:r>
        <w:rPr>
          <w:rFonts w:ascii="Liberation Sans" w:hAnsi="Liberation Sans"/>
          <w:b/>
          <w:sz w:val="22"/>
        </w:rPr>
        <w:t>CLUB BALONMANO REMUDAS ISLA DE GRAN CANARIA</w:t>
      </w:r>
    </w:p>
    <w:p>
      <w:pPr>
        <w:spacing w:after="36"/>
        <w:ind w:left="1587"/>
        <w:jc w:val="left"/>
      </w:pPr>
      <w:r>
        <w:rPr>
          <w:rFonts w:ascii="Liberation Sans" w:hAnsi="Liberation Sans"/>
          <w:b/>
          <w:sz w:val="22"/>
        </w:rPr>
        <w:t>CORRESPONDIENTES AL EJERCICIO 2025</w:t>
      </w:r>
    </w:p>
    <w:p>
      <w:pPr>
        <w:spacing w:after="2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9"/>
        <w:gridCol w:w="7398"/>
        <w:gridCol w:w="1701"/>
      </w:tblGrid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  <w:shd w:fill="F1F3F4"/>
            <w:tcBorders>
              <w:top w:val="single" w:sz="10" w:color="333333"/>
              <w:bottom w:val="single" w:sz="10" w:color="333333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  <w:shd w:fill="F1F3F4"/>
            <w:tcBorders>
              <w:top w:val="single" w:sz="10" w:color="333333"/>
              <w:bottom w:val="single" w:sz="10" w:color="333333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INGRESOS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  <w:shd w:fill="F1F3F4"/>
            <w:tcBorders>
              <w:top w:val="single" w:sz="10" w:color="333333"/>
              <w:bottom w:val="single" w:sz="10" w:color="333333"/>
            </w:tcBorders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869.280,87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1.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Ingresos de la actividad propia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869.280,87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a)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Cuotas de asociados y afiliados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38.925,90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7200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Cuotas de asociados y afiliados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38.925,90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c)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Ingresos de promociones, patrocinadores y colaboraciones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53.250,00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7233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Colaboraciones empresariales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53.250,00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d)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Subvenciones, donaciones y legados imputados al excedente del ejercicio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777.104,97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7400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Subvenciones, donaciones y legados a la actividad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777.104,97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  <w:shd w:fill="F1F3F4"/>
            <w:tcBorders>
              <w:top w:val="single" w:sz="10" w:color="333333"/>
              <w:bottom w:val="single" w:sz="10" w:color="333333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  <w:shd w:fill="F1F3F4"/>
            <w:tcBorders>
              <w:top w:val="single" w:sz="10" w:color="333333"/>
              <w:bottom w:val="single" w:sz="10" w:color="333333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GASTOS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  <w:shd w:fill="F1F3F4"/>
            <w:tcBorders>
              <w:top w:val="single" w:sz="10" w:color="333333"/>
              <w:bottom w:val="single" w:sz="10" w:color="333333"/>
            </w:tcBorders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-868.199,57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  <w:tcBorders>
              <w:top w:val="single" w:sz="4" w:color="999999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8.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  <w:tcBorders>
              <w:top w:val="single" w:sz="4" w:color="999999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Gastos de personal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  <w:tcBorders>
              <w:top w:val="single" w:sz="4" w:color="999999"/>
            </w:tcBorders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-493.915,46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6400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Sueldos y salarios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-373.153,12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6420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Seguridad Social a cargo de la entidad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-120.762,34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9.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Otros gastos de la actividad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-371.201,04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6210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Arrendamientos y cánones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-45.000,00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6220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Reparaciones y conservación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-2.895,60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6230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Servicios de profesionales independientes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-21.278,52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6250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Primas de seguros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-4.827,51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6260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Servicios bancarios y similares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-1.654,60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6270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Publicidad, propaganda y relaciones públicas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-7.378,60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6280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Suministros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-2.790,00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6290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Otros servicios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-278.654,54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4"/>
              </w:rPr>
              <w:t>62900000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4"/>
              </w:rPr>
              <w:t>GASTOS VARIOS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-1.896,51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4"/>
              </w:rPr>
              <w:t>62900001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4"/>
              </w:rPr>
              <w:t>GASTOS EN VIAJES, ALOJAMIENTO Y TRASLADOS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-137.514,18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4"/>
              </w:rPr>
              <w:t>62900002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4"/>
              </w:rPr>
              <w:t>GASTOS EN INTERNET Y TELÉFONO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-1.796,74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4"/>
              </w:rPr>
              <w:t>62900007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4"/>
              </w:rPr>
              <w:t>GASTOS EN FORMACIÓN JUGADORES/ PERSONAL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-6.500,00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4"/>
              </w:rPr>
              <w:t>62900011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4"/>
              </w:rPr>
              <w:t>GASTOS FEDERATIVOS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-79.404,46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4"/>
              </w:rPr>
              <w:t>62900013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4"/>
              </w:rPr>
              <w:t>SERVICIOS FISIOTERAPEUTAS , MÉDICOS Y FARMACIA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-10.798,73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4"/>
              </w:rPr>
              <w:t>62900014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4"/>
              </w:rPr>
              <w:t>GASTOS EN MATERIAL DEPORTIVO Y EQUIPAJES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-35.780,35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4"/>
              </w:rPr>
              <w:t>62900017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4"/>
              </w:rPr>
              <w:t>GASTOS EN AYUDAS AL PERSONAL/TÉCNICOS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-4.963,57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6310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Otros tributos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-6.721,67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10.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Amortización del inmovilizado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-3.083,07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6810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Amortización del inmovilizado material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-3.083,07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  <w:tcBorders>
              <w:top w:val="single" w:sz="5" w:color="606060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A.1)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  <w:tcBorders>
              <w:top w:val="single" w:sz="5" w:color="606060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EXCEDENTE DE LA ACTIVIDAD (1+2+3+4+5+6+7+8+9+10+11+12+13+14)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  <w:tcBorders>
              <w:top w:val="single" w:sz="5" w:color="606060"/>
            </w:tcBorders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1.081,30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  <w:tcBorders>
              <w:top w:val="single" w:sz="4" w:color="999999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15.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  <w:tcBorders>
              <w:top w:val="single" w:sz="4" w:color="999999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Ingresos financieros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  <w:tcBorders>
              <w:top w:val="single" w:sz="4" w:color="999999"/>
            </w:tcBorders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15,21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7600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Ingresos de participaciones en instrumentos de pat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15,21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16.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Gastos financieros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-4.056,36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6690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Otros gastos financieros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6"/>
              </w:rPr>
              <w:t>-4.056,36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  <w:tcBorders>
              <w:top w:val="single" w:sz="5" w:color="606060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A.3)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  <w:tcBorders>
              <w:top w:val="single" w:sz="5" w:color="606060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EXCEDENTE ANTES DE IMPUESTOS (A.1+A.2)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  <w:tcBorders>
              <w:top w:val="single" w:sz="5" w:color="606060"/>
            </w:tcBorders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-2.959,85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  <w:tcBorders>
              <w:top w:val="single" w:sz="5" w:color="606060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A.4)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  <w:tcBorders>
              <w:top w:val="single" w:sz="5" w:color="606060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Variación de patrimonio neto reconocida en el excedente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  <w:tcBorders>
              <w:top w:val="single" w:sz="5" w:color="606060"/>
            </w:tcBorders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-2.959,85</w:t>
            </w:r>
          </w:p>
        </w:tc>
      </w:tr>
      <w:tr>
        <w:tc>
          <w:tcPr>
            <w:tcW w:type="dxa" w:w="1049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  <w:shd w:fill="E6ECED"/>
            <w:tcBorders>
              <w:top w:val="single" w:sz="10" w:color="333333"/>
              <w:bottom w:val="single" w:sz="10" w:color="333333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I)</w:t>
            </w:r>
          </w:p>
        </w:tc>
        <w:tc>
          <w:tcPr>
            <w:tcW w:type="dxa" w:w="7398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  <w:shd w:fill="E6ECED"/>
            <w:tcBorders>
              <w:top w:val="single" w:sz="10" w:color="333333"/>
              <w:bottom w:val="single" w:sz="10" w:color="333333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RESULTADO TOTAL DEL EJERCICIO</w:t>
            </w:r>
          </w:p>
        </w:tc>
        <w:tc>
          <w:tcPr>
            <w:tcW w:type="dxa" w:w="1701"/>
            <w:tcMar>
              <w:top w:w="23" w:type="dxa"/>
              <w:start w:w="40" w:type="dxa"/>
              <w:bottom w:w="22" w:type="dxa"/>
              <w:end w:w="40" w:type="dxa"/>
            </w:tcMar>
            <w:vAlign w:val="center"/>
            <w:shd w:fill="E6ECED"/>
            <w:tcBorders>
              <w:top w:val="single" w:sz="10" w:color="333333"/>
              <w:bottom w:val="single" w:sz="10" w:color="333333"/>
            </w:tcBorders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6"/>
              </w:rPr>
              <w:t>-2.959,85</w:t>
            </w:r>
          </w:p>
        </w:tc>
      </w:tr>
    </w:tbl>
    <w:p>
      <w:pPr>
        <w:spacing w:before="100" w:after="20"/>
        <w:jc w:val="center"/>
      </w:pPr>
      <w:r>
        <w:drawing>
          <wp:inline xmlns:a="http://schemas.openxmlformats.org/drawingml/2006/main" xmlns:pic="http://schemas.openxmlformats.org/drawingml/2006/picture">
            <wp:extent cx="5256000" cy="99306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rmas_pdf_origina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6000" cy="9930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r>
        <w:rPr>
          <w:i/>
          <w:color w:val="5C5C5C"/>
          <w:sz w:val="14"/>
        </w:rPr>
        <w:t>Firmas reproducidas visualmente del PDF de origen. La conversión no transfiere las firmas digitales ni su validez criptográfica.</w:t>
      </w:r>
    </w:p>
    <w:p>
      <w:r>
        <w:br w:type="page"/>
      </w:r>
    </w:p>
    <w:p>
      <w:pPr>
        <w:spacing w:after="36"/>
        <w:ind w:left="1587"/>
        <w:jc w:val="left"/>
      </w:pPr>
      <w:r>
        <w:rPr>
          <w:rFonts w:ascii="Liberation Sans" w:hAnsi="Liberation Sans"/>
          <w:b/>
          <w:sz w:val="22"/>
        </w:rPr>
        <w:t>BALANCE DE SITUACION DE LA ENTIDAD</w:t>
      </w:r>
    </w:p>
    <w:p>
      <w:pPr>
        <w:spacing w:after="36"/>
        <w:ind w:left="1587"/>
        <w:jc w:val="left"/>
      </w:pPr>
      <w:r>
        <w:rPr>
          <w:rFonts w:ascii="Liberation Sans" w:hAnsi="Liberation Sans"/>
          <w:b/>
          <w:sz w:val="22"/>
        </w:rPr>
        <w:t>CLUB BALONMANO REMUDAS ISLA DE GRAN CANARIA</w:t>
      </w:r>
    </w:p>
    <w:p>
      <w:pPr>
        <w:spacing w:after="36"/>
        <w:ind w:left="1587"/>
        <w:jc w:val="left"/>
      </w:pPr>
      <w:r>
        <w:rPr>
          <w:rFonts w:ascii="Liberation Sans" w:hAnsi="Liberation Sans"/>
          <w:b/>
          <w:sz w:val="22"/>
        </w:rPr>
        <w:t>CORRESPONDIENTE AL EJERCICIO 2025</w:t>
      </w:r>
    </w:p>
    <w:p>
      <w:pPr>
        <w:spacing w:after="2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220"/>
        <w:gridCol w:w="1928"/>
      </w:tblGrid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  <w:shd w:fill="F1F3F4"/>
            <w:tcBorders>
              <w:top w:val="single" w:sz="9" w:color="222222"/>
              <w:bottom w:val="single" w:sz="9" w:color="222222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8"/>
              </w:rPr>
              <w:t>ACTIVO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  <w:shd w:fill="F1F3F4"/>
            <w:tcBorders>
              <w:top w:val="single" w:sz="9" w:color="222222"/>
              <w:bottom w:val="single" w:sz="9" w:color="222222"/>
            </w:tcBorders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8"/>
              </w:rPr>
              <w:t>IMPORTE</w:t>
            </w:r>
          </w:p>
        </w:tc>
      </w:tr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8"/>
              </w:rPr>
              <w:t>F. ACTIVO NO CORRIENTE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8"/>
              </w:rPr>
              <w:t>13.926,42</w:t>
            </w:r>
          </w:p>
        </w:tc>
      </w:tr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8"/>
              </w:rPr>
              <w:t>I. INMOVILIZADO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8"/>
              </w:rPr>
              <w:t>13.926,42</w:t>
            </w:r>
          </w:p>
        </w:tc>
      </w:tr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 xml:space="preserve">   ii. Inmovilizado material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>9.276,42</w:t>
            </w:r>
          </w:p>
        </w:tc>
      </w:tr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 xml:space="preserve">   iv. Inversiones financieras a largo plazo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>4.650,00</w:t>
            </w:r>
          </w:p>
        </w:tc>
      </w:tr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8"/>
              </w:rPr>
              <w:t>G. ACTIVO CORRIENTE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8"/>
              </w:rPr>
              <w:t>24.376,61</w:t>
            </w:r>
          </w:p>
        </w:tc>
      </w:tr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 xml:space="preserve">   I. Existencias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>0,00</w:t>
            </w:r>
          </w:p>
        </w:tc>
      </w:tr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 xml:space="preserve">   II. Deudores y cuentas a cobrar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>16.747,89</w:t>
            </w:r>
          </w:p>
        </w:tc>
      </w:tr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 xml:space="preserve">   III. Inversiones a Corto plazo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>300,00</w:t>
            </w:r>
          </w:p>
        </w:tc>
      </w:tr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 xml:space="preserve">   IV. Periodificaciones a corto plazo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>0,00</w:t>
            </w:r>
          </w:p>
        </w:tc>
      </w:tr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 xml:space="preserve">   V. Efectivo (Caja y Banco)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>7.328,72</w:t>
            </w:r>
          </w:p>
        </w:tc>
      </w:tr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  <w:shd w:fill="E6ECED"/>
            <w:tcBorders>
              <w:top w:val="single" w:sz="9" w:color="222222"/>
              <w:bottom w:val="single" w:sz="9" w:color="222222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8"/>
              </w:rPr>
              <w:t>TOTAL ACTIVO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  <w:shd w:fill="E6ECED"/>
            <w:tcBorders>
              <w:top w:val="single" w:sz="9" w:color="222222"/>
              <w:bottom w:val="single" w:sz="9" w:color="222222"/>
            </w:tcBorders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8"/>
              </w:rPr>
              <w:t>38.303,03</w:t>
            </w:r>
          </w:p>
        </w:tc>
      </w:tr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  <w:shd w:fill="F1F3F4"/>
            <w:tcBorders>
              <w:top w:val="single" w:sz="9" w:color="222222"/>
              <w:bottom w:val="single" w:sz="9" w:color="222222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8"/>
              </w:rPr>
              <w:t>PASIVO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  <w:shd w:fill="F1F3F4"/>
            <w:tcBorders>
              <w:top w:val="single" w:sz="9" w:color="222222"/>
              <w:bottom w:val="single" w:sz="9" w:color="222222"/>
            </w:tcBorders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8"/>
              </w:rPr>
              <w:t>IMPORTE</w:t>
            </w:r>
          </w:p>
        </w:tc>
      </w:tr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8"/>
              </w:rPr>
              <w:t>D. PATRIMONIO NETO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8"/>
              </w:rPr>
              <w:t>-180.297,87</w:t>
            </w:r>
          </w:p>
        </w:tc>
      </w:tr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 xml:space="preserve">   I. Capital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>0,00</w:t>
            </w:r>
          </w:p>
        </w:tc>
      </w:tr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 xml:space="preserve">   II. Reservas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>-14.172,23</w:t>
            </w:r>
          </w:p>
        </w:tc>
      </w:tr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 xml:space="preserve">   III. Resultado de ejercicios anteriores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>-163.165,79</w:t>
            </w:r>
          </w:p>
        </w:tc>
      </w:tr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 xml:space="preserve">   IV. Resultado del ejercicio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>-2.959,85</w:t>
            </w:r>
          </w:p>
        </w:tc>
      </w:tr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8"/>
              </w:rPr>
              <w:t>E. PASIVO NO CORRIENTE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8"/>
              </w:rPr>
              <w:t>0,00</w:t>
            </w:r>
          </w:p>
        </w:tc>
      </w:tr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 xml:space="preserve">   I. Provisiones a largo plazo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>0,00</w:t>
            </w:r>
          </w:p>
        </w:tc>
      </w:tr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 xml:space="preserve">   II. Deudas a largo plazo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>0,00</w:t>
            </w:r>
          </w:p>
        </w:tc>
      </w:tr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 xml:space="preserve">   III. PeriodifIcaciones a largo plazo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>0,00</w:t>
            </w:r>
          </w:p>
        </w:tc>
      </w:tr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8"/>
              </w:rPr>
              <w:t>F. PASIVO CORRIENTE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8"/>
              </w:rPr>
              <w:t>218.600,90</w:t>
            </w:r>
          </w:p>
        </w:tc>
      </w:tr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 xml:space="preserve">   I. Provisiones a corto plazo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>0,00</w:t>
            </w:r>
          </w:p>
        </w:tc>
      </w:tr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 xml:space="preserve">   II. Deudas a corto plazo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>218.600,90</w:t>
            </w:r>
          </w:p>
        </w:tc>
      </w:tr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 xml:space="preserve">       2. Deudas con entidades de crédito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>99.074,58</w:t>
            </w:r>
          </w:p>
        </w:tc>
      </w:tr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 xml:space="preserve">       5. Otras deudas a corto plazo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>65.194,57</w:t>
            </w:r>
          </w:p>
        </w:tc>
      </w:tr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 xml:space="preserve">   III. Acreedores comerciales y otras cuentas a pagar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>54.331,75</w:t>
            </w:r>
          </w:p>
        </w:tc>
      </w:tr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 xml:space="preserve">   IV. Periodificaciones a corto plazo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 w:val="0"/>
                <w:i w:val="0"/>
                <w:color w:val="161616"/>
                <w:sz w:val="18"/>
              </w:rPr>
              <w:t>0,00</w:t>
            </w:r>
          </w:p>
        </w:tc>
      </w:tr>
      <w:tr>
        <w:tc>
          <w:tcPr>
            <w:tcW w:type="dxa" w:w="8220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  <w:shd w:fill="E6ECED"/>
            <w:tcBorders>
              <w:top w:val="single" w:sz="9" w:color="222222"/>
              <w:bottom w:val="single" w:sz="9" w:color="222222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8"/>
              </w:rPr>
              <w:t>TOTAL PASIVO</w:t>
            </w:r>
          </w:p>
        </w:tc>
        <w:tc>
          <w:tcPr>
            <w:tcW w:type="dxa" w:w="1928"/>
            <w:tcMar>
              <w:top w:w="43" w:type="dxa"/>
              <w:start w:w="80" w:type="dxa"/>
              <w:bottom w:w="42" w:type="dxa"/>
              <w:end w:w="70" w:type="dxa"/>
            </w:tcMar>
            <w:vAlign w:val="center"/>
            <w:shd w:fill="E6ECED"/>
            <w:tcBorders>
              <w:top w:val="single" w:sz="9" w:color="222222"/>
              <w:bottom w:val="single" w:sz="9" w:color="222222"/>
            </w:tcBorders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Liberation Sans" w:hAnsi="Liberation Sans"/>
                <w:b/>
                <w:i w:val="0"/>
                <w:color w:val="161616"/>
                <w:sz w:val="18"/>
              </w:rPr>
              <w:t>38.303,03</w:t>
            </w:r>
          </w:p>
        </w:tc>
      </w:tr>
    </w:tbl>
    <w:p>
      <w:pPr>
        <w:spacing w:before="160"/>
        <w:jc w:val="center"/>
      </w:pPr>
      <w:r>
        <w:rPr>
          <w:color w:val="696969"/>
          <w:sz w:val="14"/>
        </w:rPr>
        <w:t>Copia editable del contenido del PDF original firmado. Este documento no conserva firmas digitales verificables.</w:t>
      </w:r>
    </w:p>
    <w:sectPr w:rsidR="00FC693F" w:rsidRPr="0006063C" w:rsidSect="00034616">
      <w:pgSz w:w="11906" w:h="16838"/>
      <w:pgMar w:top="822" w:right="765" w:bottom="680" w:left="794" w:header="340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Liberation Sans" w:hAnsi="Liberation San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Cuentas anuales 2025 – Club Balonmano Remudas Isla de Gran Canaria</dc:title>
  <dc:subject>Cuenta de explotación y balance de situación del ejercicio 2025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